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5EFA" w:rsidRPr="00EB5DF9" w:rsidRDefault="00295EFA" w:rsidP="00EB5DF9">
      <w:pPr>
        <w:spacing w:line="240" w:lineRule="auto"/>
        <w:rPr>
          <w:rFonts w:ascii="Times New Roman" w:hAnsi="Times New Roman" w:cs="Times New Roman"/>
          <w:sz w:val="24"/>
          <w:szCs w:val="24"/>
        </w:rPr>
      </w:pPr>
      <w:r w:rsidRPr="00EB5DF9">
        <w:rPr>
          <w:rFonts w:ascii="Times New Roman" w:hAnsi="Times New Roman" w:cs="Times New Roman"/>
          <w:sz w:val="24"/>
          <w:szCs w:val="24"/>
        </w:rPr>
        <w:t>Profitability ratios</w:t>
      </w:r>
    </w:p>
    <w:p w:rsidR="00021361" w:rsidRPr="00EB5DF9" w:rsidRDefault="00021361" w:rsidP="00EB5DF9">
      <w:pPr>
        <w:spacing w:line="240" w:lineRule="auto"/>
        <w:rPr>
          <w:rFonts w:ascii="Times New Roman" w:hAnsi="Times New Roman" w:cs="Times New Roman"/>
          <w:sz w:val="24"/>
          <w:szCs w:val="24"/>
        </w:rPr>
      </w:pPr>
      <w:r w:rsidRPr="00EB5DF9">
        <w:rPr>
          <w:rFonts w:ascii="Times New Roman" w:hAnsi="Times New Roman" w:cs="Times New Roman"/>
          <w:sz w:val="24"/>
          <w:szCs w:val="24"/>
        </w:rPr>
        <w:t>The return on assets is a measure showing the total amount of gain that the firm has so far generated within a specified duration based on a given amount of investment. The ratio is expressed as a percentage of the total investment. The rate compares the company’s profitability and also the efficiency of the investment portfolio. The ratio is calculated by dividing the net profit by the cost of the investment. For instance, assuming that the firm invested in $3000 then later after one year, sells the stake at $3100, the profit realized from the portfolio would be $100. The return on investment is therefore calculated as:</w:t>
      </w:r>
    </w:p>
    <w:p w:rsidR="00021361" w:rsidRPr="00EB5DF9" w:rsidRDefault="00021361" w:rsidP="00EB5DF9">
      <w:pPr>
        <w:spacing w:line="240" w:lineRule="auto"/>
        <w:rPr>
          <w:rFonts w:ascii="Times New Roman" w:hAnsi="Times New Roman" w:cs="Times New Roman"/>
          <w:sz w:val="24"/>
          <w:szCs w:val="24"/>
        </w:rPr>
      </w:pPr>
      <w:r w:rsidRPr="00EB5DF9">
        <w:rPr>
          <w:rFonts w:ascii="Times New Roman" w:hAnsi="Times New Roman" w:cs="Times New Roman"/>
          <w:sz w:val="24"/>
          <w:szCs w:val="24"/>
        </w:rPr>
        <w:t>100/3000*100</w:t>
      </w:r>
    </w:p>
    <w:p w:rsidR="00021361" w:rsidRPr="00EB5DF9" w:rsidRDefault="00021361" w:rsidP="00EB5DF9">
      <w:pPr>
        <w:spacing w:line="240" w:lineRule="auto"/>
        <w:rPr>
          <w:rFonts w:ascii="Times New Roman" w:hAnsi="Times New Roman" w:cs="Times New Roman"/>
          <w:sz w:val="24"/>
          <w:szCs w:val="24"/>
        </w:rPr>
      </w:pPr>
      <w:r w:rsidRPr="00EB5DF9">
        <w:rPr>
          <w:rFonts w:ascii="Times New Roman" w:hAnsi="Times New Roman" w:cs="Times New Roman"/>
          <w:sz w:val="24"/>
          <w:szCs w:val="24"/>
        </w:rPr>
        <w:t>=3.3%.</w:t>
      </w:r>
    </w:p>
    <w:p w:rsidR="00021361" w:rsidRPr="00EB5DF9" w:rsidRDefault="00021361" w:rsidP="00EB5DF9">
      <w:pPr>
        <w:spacing w:line="240" w:lineRule="auto"/>
        <w:rPr>
          <w:rFonts w:ascii="Times New Roman" w:hAnsi="Times New Roman" w:cs="Times New Roman"/>
          <w:sz w:val="24"/>
          <w:szCs w:val="24"/>
        </w:rPr>
      </w:pPr>
      <w:r w:rsidRPr="00EB5DF9">
        <w:rPr>
          <w:rFonts w:ascii="Times New Roman" w:hAnsi="Times New Roman" w:cs="Times New Roman"/>
          <w:sz w:val="24"/>
          <w:szCs w:val="24"/>
        </w:rPr>
        <w:t xml:space="preserve">The evaluation based on return on investment is however not preferred since it is prone to manipulations. </w:t>
      </w:r>
    </w:p>
    <w:p w:rsidR="00021361" w:rsidRPr="00EB5DF9" w:rsidRDefault="00021361" w:rsidP="00EB5DF9">
      <w:pPr>
        <w:spacing w:line="240" w:lineRule="auto"/>
        <w:rPr>
          <w:rFonts w:ascii="Times New Roman" w:hAnsi="Times New Roman" w:cs="Times New Roman"/>
          <w:sz w:val="24"/>
          <w:szCs w:val="24"/>
        </w:rPr>
      </w:pPr>
      <w:r w:rsidRPr="00EB5DF9">
        <w:rPr>
          <w:rFonts w:ascii="Times New Roman" w:hAnsi="Times New Roman" w:cs="Times New Roman"/>
          <w:sz w:val="24"/>
          <w:szCs w:val="24"/>
        </w:rPr>
        <w:t>Another evaluation that the company may use to determine the profitability is through the use of the gross margin ratio. The gross margin or contribution margin ratio shows the difference between the firm’s revenue and the variable costs expressed as a percentage. For the company to manage to offset the operating expenses, the gross margin needs to be relatively high to allow it to cover until the fixed costs and the administration costs. The ratio is essential in allowing the company to determine if the product pricing. A low ration of the gross profit margin implies that the firm is operating at a loss.  To allow for calculation of the ratio. One needs to divide the contribution margin by the available sales then express the outcome as a percentage. For instance, assuming that the company in the last financial period made total revenue of $250000 whereas the total variable cost summed to $30000. If the fixed cost amounted to $400 while the profit for the financial year is $45000, the contribution margin for the period would therefore be:</w:t>
      </w:r>
    </w:p>
    <w:p w:rsidR="00021361" w:rsidRPr="00EB5DF9" w:rsidRDefault="00021361" w:rsidP="00EB5DF9">
      <w:pPr>
        <w:spacing w:line="240" w:lineRule="auto"/>
        <w:rPr>
          <w:rFonts w:ascii="Times New Roman" w:hAnsi="Times New Roman" w:cs="Times New Roman"/>
          <w:sz w:val="24"/>
          <w:szCs w:val="24"/>
        </w:rPr>
      </w:pPr>
      <w:r w:rsidRPr="00EB5DF9">
        <w:rPr>
          <w:rFonts w:ascii="Times New Roman" w:hAnsi="Times New Roman" w:cs="Times New Roman"/>
          <w:sz w:val="24"/>
          <w:szCs w:val="24"/>
        </w:rPr>
        <w:t>(250000-30000)=220000</w:t>
      </w:r>
    </w:p>
    <w:p w:rsidR="00021361" w:rsidRPr="00EB5DF9" w:rsidRDefault="00021361" w:rsidP="00EB5DF9">
      <w:pPr>
        <w:spacing w:line="240" w:lineRule="auto"/>
        <w:rPr>
          <w:rFonts w:ascii="Times New Roman" w:hAnsi="Times New Roman" w:cs="Times New Roman"/>
          <w:sz w:val="24"/>
          <w:szCs w:val="24"/>
        </w:rPr>
      </w:pPr>
      <w:r w:rsidRPr="00EB5DF9">
        <w:rPr>
          <w:rFonts w:ascii="Times New Roman" w:hAnsi="Times New Roman" w:cs="Times New Roman"/>
          <w:sz w:val="24"/>
          <w:szCs w:val="24"/>
        </w:rPr>
        <w:t>220000/250000*100</w:t>
      </w:r>
    </w:p>
    <w:p w:rsidR="00021361" w:rsidRPr="00EB5DF9" w:rsidRDefault="00021361" w:rsidP="00EB5DF9">
      <w:pPr>
        <w:spacing w:line="240" w:lineRule="auto"/>
        <w:rPr>
          <w:rFonts w:ascii="Times New Roman" w:hAnsi="Times New Roman" w:cs="Times New Roman"/>
          <w:sz w:val="24"/>
          <w:szCs w:val="24"/>
        </w:rPr>
      </w:pPr>
      <w:r w:rsidRPr="00EB5DF9">
        <w:rPr>
          <w:rFonts w:ascii="Times New Roman" w:hAnsi="Times New Roman" w:cs="Times New Roman"/>
          <w:sz w:val="24"/>
          <w:szCs w:val="24"/>
        </w:rPr>
        <w:t>=88%.</w:t>
      </w:r>
    </w:p>
    <w:p w:rsidR="00021361" w:rsidRPr="00EB5DF9" w:rsidRDefault="00021361" w:rsidP="00EB5DF9">
      <w:pPr>
        <w:spacing w:line="240" w:lineRule="auto"/>
        <w:rPr>
          <w:rFonts w:ascii="Times New Roman" w:hAnsi="Times New Roman" w:cs="Times New Roman"/>
          <w:sz w:val="24"/>
          <w:szCs w:val="24"/>
        </w:rPr>
      </w:pPr>
      <w:proofErr w:type="spellStart"/>
      <w:r w:rsidRPr="00EB5DF9">
        <w:rPr>
          <w:rFonts w:ascii="Times New Roman" w:hAnsi="Times New Roman" w:cs="Times New Roman"/>
          <w:sz w:val="24"/>
          <w:szCs w:val="24"/>
        </w:rPr>
        <w:t>Benali’s</w:t>
      </w:r>
      <w:proofErr w:type="spellEnd"/>
      <w:r w:rsidRPr="00EB5DF9">
        <w:rPr>
          <w:rFonts w:ascii="Times New Roman" w:hAnsi="Times New Roman" w:cs="Times New Roman"/>
          <w:sz w:val="24"/>
          <w:szCs w:val="24"/>
        </w:rPr>
        <w:t xml:space="preserve"> contribution margin is 88% which implies that the firm is in a position to manage its variable expenses. </w:t>
      </w:r>
    </w:p>
    <w:p w:rsidR="00021361" w:rsidRPr="00EB5DF9" w:rsidRDefault="00021361" w:rsidP="00EB5DF9">
      <w:pPr>
        <w:spacing w:line="240" w:lineRule="auto"/>
        <w:rPr>
          <w:rFonts w:ascii="Times New Roman" w:hAnsi="Times New Roman" w:cs="Times New Roman"/>
          <w:sz w:val="24"/>
          <w:szCs w:val="24"/>
        </w:rPr>
      </w:pPr>
      <w:r w:rsidRPr="00EB5DF9">
        <w:rPr>
          <w:rFonts w:ascii="Times New Roman" w:hAnsi="Times New Roman" w:cs="Times New Roman"/>
          <w:sz w:val="24"/>
          <w:szCs w:val="24"/>
        </w:rPr>
        <w:t>Liquidity ratios</w:t>
      </w:r>
    </w:p>
    <w:p w:rsidR="00021361" w:rsidRPr="00EB5DF9" w:rsidRDefault="00021361" w:rsidP="00EB5DF9">
      <w:pPr>
        <w:spacing w:line="240" w:lineRule="auto"/>
        <w:rPr>
          <w:rFonts w:ascii="Times New Roman" w:hAnsi="Times New Roman" w:cs="Times New Roman"/>
          <w:sz w:val="24"/>
          <w:szCs w:val="24"/>
        </w:rPr>
      </w:pPr>
      <w:r w:rsidRPr="00EB5DF9">
        <w:rPr>
          <w:rFonts w:ascii="Times New Roman" w:hAnsi="Times New Roman" w:cs="Times New Roman"/>
          <w:sz w:val="24"/>
          <w:szCs w:val="24"/>
        </w:rPr>
        <w:t>The ratios determine the company’s potentiality in the payment of the current obligations. Among the rates include the current rate which shows the firm’s ability in the amount of the short term debt by use of the available current assets. The ration comprises of the balance sheet items like accounts receivable, cash, inventory and the other liquid investments that their maturity is less than a year. The current obligations comprise of tax payable, wages payable, and the current year’s portion of the long term debt. The current ratio is calculated as below:</w:t>
      </w:r>
    </w:p>
    <w:p w:rsidR="00021361" w:rsidRPr="00EB5DF9" w:rsidRDefault="00021361" w:rsidP="00EB5DF9">
      <w:pPr>
        <w:spacing w:line="240" w:lineRule="auto"/>
        <w:rPr>
          <w:rFonts w:ascii="Times New Roman" w:hAnsi="Times New Roman" w:cs="Times New Roman"/>
          <w:sz w:val="24"/>
          <w:szCs w:val="24"/>
        </w:rPr>
      </w:pPr>
      <w:r w:rsidRPr="00EB5DF9">
        <w:rPr>
          <w:rFonts w:ascii="Times New Roman" w:hAnsi="Times New Roman" w:cs="Times New Roman"/>
          <w:sz w:val="24"/>
          <w:szCs w:val="24"/>
        </w:rPr>
        <w:t>Current assets/current liability</w:t>
      </w:r>
    </w:p>
    <w:p w:rsidR="00021361" w:rsidRPr="00EB5DF9" w:rsidRDefault="00021361" w:rsidP="00EB5DF9">
      <w:pPr>
        <w:spacing w:line="240" w:lineRule="auto"/>
        <w:rPr>
          <w:rFonts w:ascii="Times New Roman" w:hAnsi="Times New Roman" w:cs="Times New Roman"/>
          <w:sz w:val="24"/>
          <w:szCs w:val="24"/>
        </w:rPr>
      </w:pPr>
      <w:r w:rsidRPr="00EB5DF9">
        <w:rPr>
          <w:rFonts w:ascii="Times New Roman" w:hAnsi="Times New Roman" w:cs="Times New Roman"/>
          <w:sz w:val="24"/>
          <w:szCs w:val="24"/>
        </w:rPr>
        <w:t>For instance, if during the financial period, the company had total current assets standing at $100 and the current liabilities at $40, then the existing asset is determined as;</w:t>
      </w:r>
    </w:p>
    <w:p w:rsidR="00021361" w:rsidRPr="00EB5DF9" w:rsidRDefault="00021361" w:rsidP="00EB5DF9">
      <w:pPr>
        <w:spacing w:line="240" w:lineRule="auto"/>
        <w:rPr>
          <w:rFonts w:ascii="Times New Roman" w:hAnsi="Times New Roman" w:cs="Times New Roman"/>
          <w:sz w:val="24"/>
          <w:szCs w:val="24"/>
        </w:rPr>
      </w:pPr>
      <w:r w:rsidRPr="00EB5DF9">
        <w:rPr>
          <w:rFonts w:ascii="Times New Roman" w:hAnsi="Times New Roman" w:cs="Times New Roman"/>
          <w:sz w:val="24"/>
          <w:szCs w:val="24"/>
        </w:rPr>
        <w:lastRenderedPageBreak/>
        <w:t xml:space="preserve">100/40=1.25. </w:t>
      </w:r>
    </w:p>
    <w:p w:rsidR="00021361" w:rsidRPr="00EB5DF9" w:rsidRDefault="00021361" w:rsidP="00EB5DF9">
      <w:pPr>
        <w:spacing w:line="240" w:lineRule="auto"/>
        <w:rPr>
          <w:rFonts w:ascii="Times New Roman" w:hAnsi="Times New Roman" w:cs="Times New Roman"/>
          <w:sz w:val="24"/>
          <w:szCs w:val="24"/>
        </w:rPr>
      </w:pPr>
      <w:r w:rsidRPr="00EB5DF9">
        <w:rPr>
          <w:rFonts w:ascii="Times New Roman" w:hAnsi="Times New Roman" w:cs="Times New Roman"/>
          <w:sz w:val="24"/>
          <w:szCs w:val="24"/>
        </w:rPr>
        <w:t>The result shows that the firm’s liquidity is stable since it can settle the current debts.</w:t>
      </w:r>
    </w:p>
    <w:p w:rsidR="00021361" w:rsidRPr="00EB5DF9" w:rsidRDefault="00021361" w:rsidP="00EB5DF9">
      <w:pPr>
        <w:spacing w:line="240" w:lineRule="auto"/>
        <w:rPr>
          <w:rFonts w:ascii="Times New Roman" w:hAnsi="Times New Roman" w:cs="Times New Roman"/>
          <w:sz w:val="24"/>
          <w:szCs w:val="24"/>
        </w:rPr>
      </w:pPr>
      <w:r w:rsidRPr="00EB5DF9">
        <w:rPr>
          <w:rFonts w:ascii="Times New Roman" w:hAnsi="Times New Roman" w:cs="Times New Roman"/>
          <w:sz w:val="24"/>
          <w:szCs w:val="24"/>
        </w:rPr>
        <w:t>Solvency ratio</w:t>
      </w:r>
    </w:p>
    <w:p w:rsidR="00021361" w:rsidRPr="00EB5DF9" w:rsidRDefault="00021361" w:rsidP="00EB5DF9">
      <w:pPr>
        <w:spacing w:line="240" w:lineRule="auto"/>
        <w:rPr>
          <w:rFonts w:ascii="Times New Roman" w:hAnsi="Times New Roman" w:cs="Times New Roman"/>
          <w:sz w:val="24"/>
          <w:szCs w:val="24"/>
        </w:rPr>
      </w:pPr>
      <w:r w:rsidRPr="00EB5DF9">
        <w:rPr>
          <w:rFonts w:ascii="Times New Roman" w:hAnsi="Times New Roman" w:cs="Times New Roman"/>
          <w:sz w:val="24"/>
          <w:szCs w:val="24"/>
        </w:rPr>
        <w:t>The ratio is used by the company to meet its debt and other liabilities. The rate is an indication of whether the cash flows are enough to meet the short and long term obligations. The price is calculated as below:</w:t>
      </w:r>
    </w:p>
    <w:p w:rsidR="00021361" w:rsidRPr="00EB5DF9" w:rsidRDefault="00021361" w:rsidP="00EB5DF9">
      <w:pPr>
        <w:spacing w:line="240" w:lineRule="auto"/>
        <w:rPr>
          <w:rFonts w:ascii="Times New Roman" w:hAnsi="Times New Roman" w:cs="Times New Roman"/>
          <w:sz w:val="24"/>
          <w:szCs w:val="24"/>
        </w:rPr>
      </w:pPr>
      <w:r w:rsidRPr="00EB5DF9">
        <w:rPr>
          <w:rFonts w:ascii="Times New Roman" w:hAnsi="Times New Roman" w:cs="Times New Roman"/>
          <w:sz w:val="24"/>
          <w:szCs w:val="24"/>
        </w:rPr>
        <w:t xml:space="preserve">Net income (after tax) +depreciation/Short term and long term liabilities. </w:t>
      </w:r>
    </w:p>
    <w:p w:rsidR="00021361" w:rsidRPr="00EB5DF9" w:rsidRDefault="00021361" w:rsidP="00EB5DF9">
      <w:pPr>
        <w:spacing w:line="240" w:lineRule="auto"/>
        <w:rPr>
          <w:rFonts w:ascii="Times New Roman" w:hAnsi="Times New Roman" w:cs="Times New Roman"/>
          <w:sz w:val="24"/>
          <w:szCs w:val="24"/>
        </w:rPr>
      </w:pPr>
      <w:r w:rsidRPr="00EB5DF9">
        <w:rPr>
          <w:rFonts w:ascii="Times New Roman" w:hAnsi="Times New Roman" w:cs="Times New Roman"/>
          <w:sz w:val="24"/>
          <w:szCs w:val="24"/>
        </w:rPr>
        <w:t xml:space="preserve">For instance, assuming that </w:t>
      </w:r>
      <w:proofErr w:type="spellStart"/>
      <w:r w:rsidRPr="00EB5DF9">
        <w:rPr>
          <w:rFonts w:ascii="Times New Roman" w:hAnsi="Times New Roman" w:cs="Times New Roman"/>
          <w:sz w:val="24"/>
          <w:szCs w:val="24"/>
        </w:rPr>
        <w:t>Benali</w:t>
      </w:r>
      <w:proofErr w:type="spellEnd"/>
      <w:r w:rsidRPr="00EB5DF9">
        <w:rPr>
          <w:rFonts w:ascii="Times New Roman" w:hAnsi="Times New Roman" w:cs="Times New Roman"/>
          <w:sz w:val="24"/>
          <w:szCs w:val="24"/>
        </w:rPr>
        <w:t xml:space="preserve"> ltd had a profit of $ 12, depreciation of 3 and total liabilities of 50, then the solvency ratio is as below:</w:t>
      </w:r>
    </w:p>
    <w:p w:rsidR="00021361" w:rsidRPr="00EB5DF9" w:rsidRDefault="00021361" w:rsidP="00EB5DF9">
      <w:pPr>
        <w:spacing w:line="240" w:lineRule="auto"/>
        <w:rPr>
          <w:rFonts w:ascii="Times New Roman" w:hAnsi="Times New Roman" w:cs="Times New Roman"/>
          <w:sz w:val="24"/>
          <w:szCs w:val="24"/>
        </w:rPr>
      </w:pPr>
      <w:r w:rsidRPr="00EB5DF9">
        <w:rPr>
          <w:rFonts w:ascii="Times New Roman" w:hAnsi="Times New Roman" w:cs="Times New Roman"/>
          <w:sz w:val="24"/>
          <w:szCs w:val="24"/>
        </w:rPr>
        <w:t>12+3=15</w:t>
      </w:r>
    </w:p>
    <w:p w:rsidR="00021361" w:rsidRPr="00EB5DF9" w:rsidRDefault="00021361" w:rsidP="00EB5DF9">
      <w:pPr>
        <w:spacing w:line="240" w:lineRule="auto"/>
        <w:rPr>
          <w:rFonts w:ascii="Times New Roman" w:hAnsi="Times New Roman" w:cs="Times New Roman"/>
          <w:sz w:val="24"/>
          <w:szCs w:val="24"/>
        </w:rPr>
      </w:pPr>
      <w:r w:rsidRPr="00EB5DF9">
        <w:rPr>
          <w:rFonts w:ascii="Times New Roman" w:hAnsi="Times New Roman" w:cs="Times New Roman"/>
          <w:sz w:val="24"/>
          <w:szCs w:val="24"/>
        </w:rPr>
        <w:t>15/50=0.3*100=30.</w:t>
      </w:r>
    </w:p>
    <w:p w:rsidR="00021361" w:rsidRPr="00EB5DF9" w:rsidRDefault="00021361" w:rsidP="00EB5DF9">
      <w:pPr>
        <w:spacing w:line="240" w:lineRule="auto"/>
        <w:rPr>
          <w:rFonts w:ascii="Times New Roman" w:hAnsi="Times New Roman" w:cs="Times New Roman"/>
          <w:sz w:val="24"/>
          <w:szCs w:val="24"/>
        </w:rPr>
      </w:pPr>
      <w:r w:rsidRPr="00EB5DF9">
        <w:rPr>
          <w:rFonts w:ascii="Times New Roman" w:hAnsi="Times New Roman" w:cs="Times New Roman"/>
          <w:sz w:val="24"/>
          <w:szCs w:val="24"/>
        </w:rPr>
        <w:t xml:space="preserve">The implication is that the company is in a stable solvency ratio. </w:t>
      </w:r>
    </w:p>
    <w:p w:rsidR="00021361" w:rsidRPr="00EB5DF9" w:rsidRDefault="00021361" w:rsidP="00EB5DF9">
      <w:pPr>
        <w:spacing w:line="240" w:lineRule="auto"/>
        <w:rPr>
          <w:rFonts w:ascii="Times New Roman" w:hAnsi="Times New Roman" w:cs="Times New Roman"/>
          <w:sz w:val="24"/>
          <w:szCs w:val="24"/>
        </w:rPr>
      </w:pPr>
      <w:r w:rsidRPr="00EB5DF9">
        <w:rPr>
          <w:rFonts w:ascii="Times New Roman" w:hAnsi="Times New Roman" w:cs="Times New Roman"/>
          <w:sz w:val="24"/>
          <w:szCs w:val="24"/>
        </w:rPr>
        <w:t>Asset management ratio</w:t>
      </w:r>
    </w:p>
    <w:p w:rsidR="00021361" w:rsidRPr="00EB5DF9" w:rsidRDefault="00021361" w:rsidP="00EB5DF9">
      <w:pPr>
        <w:spacing w:line="240" w:lineRule="auto"/>
        <w:rPr>
          <w:rFonts w:ascii="Times New Roman" w:hAnsi="Times New Roman" w:cs="Times New Roman"/>
          <w:sz w:val="24"/>
          <w:szCs w:val="24"/>
        </w:rPr>
      </w:pPr>
      <w:r w:rsidRPr="00EB5DF9">
        <w:rPr>
          <w:rFonts w:ascii="Times New Roman" w:hAnsi="Times New Roman" w:cs="Times New Roman"/>
          <w:sz w:val="24"/>
          <w:szCs w:val="24"/>
        </w:rPr>
        <w:t>The ratio measures the company’s success in managing the assets in an attempt to generate sales. The ratios are also termed as activity ratios. Among the asset management ratios is the receivable turnover which assesses the company’s ability to manage its receivables. It is calculated as below:</w:t>
      </w:r>
    </w:p>
    <w:p w:rsidR="00021361" w:rsidRPr="00EB5DF9" w:rsidRDefault="00021361" w:rsidP="00EB5DF9">
      <w:pPr>
        <w:spacing w:line="240" w:lineRule="auto"/>
        <w:rPr>
          <w:rFonts w:ascii="Times New Roman" w:hAnsi="Times New Roman" w:cs="Times New Roman"/>
          <w:sz w:val="24"/>
          <w:szCs w:val="24"/>
        </w:rPr>
      </w:pPr>
      <w:r w:rsidRPr="00EB5DF9">
        <w:rPr>
          <w:rFonts w:ascii="Times New Roman" w:hAnsi="Times New Roman" w:cs="Times New Roman"/>
          <w:sz w:val="24"/>
          <w:szCs w:val="24"/>
        </w:rPr>
        <w:t xml:space="preserve">=Sales/accounts receivable. </w:t>
      </w:r>
    </w:p>
    <w:p w:rsidR="005A3491" w:rsidRPr="00EB5DF9" w:rsidRDefault="00021361" w:rsidP="00EB5DF9">
      <w:pPr>
        <w:spacing w:line="240" w:lineRule="auto"/>
        <w:rPr>
          <w:rFonts w:ascii="Times New Roman" w:hAnsi="Times New Roman" w:cs="Times New Roman"/>
          <w:sz w:val="24"/>
          <w:szCs w:val="24"/>
        </w:rPr>
      </w:pPr>
      <w:r w:rsidRPr="00EB5DF9">
        <w:rPr>
          <w:rFonts w:ascii="Times New Roman" w:hAnsi="Times New Roman" w:cs="Times New Roman"/>
          <w:sz w:val="24"/>
          <w:szCs w:val="24"/>
        </w:rPr>
        <w:t xml:space="preserve">For instance, the projected sales for the first year for the company is $250000 and a total receivable of $300000. The receivable turnover is thus determined as (250000/300000)*365 which give 438 </w:t>
      </w:r>
      <w:bookmarkStart w:id="0" w:name="_GoBack"/>
      <w:bookmarkEnd w:id="0"/>
      <w:r w:rsidR="00EB5DF9" w:rsidRPr="00EB5DF9">
        <w:rPr>
          <w:rFonts w:ascii="Times New Roman" w:hAnsi="Times New Roman" w:cs="Times New Roman"/>
          <w:sz w:val="24"/>
          <w:szCs w:val="24"/>
        </w:rPr>
        <w:t>signifying a</w:t>
      </w:r>
      <w:r w:rsidRPr="00EB5DF9">
        <w:rPr>
          <w:rFonts w:ascii="Times New Roman" w:hAnsi="Times New Roman" w:cs="Times New Roman"/>
          <w:sz w:val="24"/>
          <w:szCs w:val="24"/>
        </w:rPr>
        <w:t xml:space="preserve"> poor performance by management in the collection of the receivables. </w:t>
      </w:r>
    </w:p>
    <w:sectPr w:rsidR="005A3491" w:rsidRPr="00EB5DF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S0MLUwN7A0NTIytbBQ0lEKTi0uzszPAykwrAUABWymIiwAAAA="/>
  </w:docVars>
  <w:rsids>
    <w:rsidRoot w:val="00B464CA"/>
    <w:rsid w:val="00021361"/>
    <w:rsid w:val="00096043"/>
    <w:rsid w:val="00295EFA"/>
    <w:rsid w:val="0048011B"/>
    <w:rsid w:val="005A3491"/>
    <w:rsid w:val="00B464CA"/>
    <w:rsid w:val="00C44409"/>
    <w:rsid w:val="00DF5BA4"/>
    <w:rsid w:val="00EB5D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9E4B62-0CE1-43AB-8CD4-07857E10E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295EF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09604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464CA"/>
    <w:rPr>
      <w:b/>
      <w:bCs/>
    </w:rPr>
  </w:style>
  <w:style w:type="character" w:customStyle="1" w:styleId="definition-url">
    <w:name w:val="definition-url"/>
    <w:basedOn w:val="DefaultParagraphFont"/>
    <w:rsid w:val="00B464CA"/>
  </w:style>
  <w:style w:type="character" w:customStyle="1" w:styleId="nolink">
    <w:name w:val="nolink"/>
    <w:basedOn w:val="DefaultParagraphFont"/>
    <w:rsid w:val="00B464CA"/>
  </w:style>
  <w:style w:type="character" w:customStyle="1" w:styleId="Heading2Char">
    <w:name w:val="Heading 2 Char"/>
    <w:basedOn w:val="DefaultParagraphFont"/>
    <w:link w:val="Heading2"/>
    <w:uiPriority w:val="9"/>
    <w:rsid w:val="00295EFA"/>
    <w:rPr>
      <w:rFonts w:ascii="Times New Roman" w:eastAsia="Times New Roman" w:hAnsi="Times New Roman" w:cs="Times New Roman"/>
      <w:b/>
      <w:bCs/>
      <w:sz w:val="36"/>
      <w:szCs w:val="36"/>
    </w:rPr>
  </w:style>
  <w:style w:type="paragraph" w:styleId="NormalWeb">
    <w:name w:val="Normal (Web)"/>
    <w:basedOn w:val="Normal"/>
    <w:uiPriority w:val="99"/>
    <w:unhideWhenUsed/>
    <w:rsid w:val="00295EF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95EFA"/>
    <w:rPr>
      <w:color w:val="0000FF"/>
      <w:u w:val="single"/>
    </w:rPr>
  </w:style>
  <w:style w:type="paragraph" w:customStyle="1" w:styleId="text-align-center">
    <w:name w:val="text-align-center"/>
    <w:basedOn w:val="Normal"/>
    <w:rsid w:val="00DF5B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096043"/>
    <w:rPr>
      <w:rFonts w:asciiTheme="majorHAnsi" w:eastAsiaTheme="majorEastAsia" w:hAnsiTheme="majorHAnsi" w:cstheme="majorBidi"/>
      <w:color w:val="1F4D78" w:themeColor="accent1" w:themeShade="7F"/>
      <w:sz w:val="24"/>
      <w:szCs w:val="24"/>
    </w:rPr>
  </w:style>
  <w:style w:type="character" w:customStyle="1" w:styleId="mntl-sc-block-headingtext">
    <w:name w:val="mntl-sc-block-heading__text"/>
    <w:basedOn w:val="DefaultParagraphFont"/>
    <w:rsid w:val="000960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132059">
      <w:bodyDiv w:val="1"/>
      <w:marLeft w:val="0"/>
      <w:marRight w:val="0"/>
      <w:marTop w:val="0"/>
      <w:marBottom w:val="0"/>
      <w:divBdr>
        <w:top w:val="none" w:sz="0" w:space="0" w:color="auto"/>
        <w:left w:val="none" w:sz="0" w:space="0" w:color="auto"/>
        <w:bottom w:val="none" w:sz="0" w:space="0" w:color="auto"/>
        <w:right w:val="none" w:sz="0" w:space="0" w:color="auto"/>
      </w:divBdr>
    </w:div>
    <w:div w:id="1342661505">
      <w:bodyDiv w:val="1"/>
      <w:marLeft w:val="0"/>
      <w:marRight w:val="0"/>
      <w:marTop w:val="0"/>
      <w:marBottom w:val="0"/>
      <w:divBdr>
        <w:top w:val="none" w:sz="0" w:space="0" w:color="auto"/>
        <w:left w:val="none" w:sz="0" w:space="0" w:color="auto"/>
        <w:bottom w:val="none" w:sz="0" w:space="0" w:color="auto"/>
        <w:right w:val="none" w:sz="0" w:space="0" w:color="auto"/>
      </w:divBdr>
      <w:divsChild>
        <w:div w:id="1082140027">
          <w:marLeft w:val="0"/>
          <w:marRight w:val="0"/>
          <w:marTop w:val="0"/>
          <w:marBottom w:val="0"/>
          <w:divBdr>
            <w:top w:val="none" w:sz="0" w:space="0" w:color="auto"/>
            <w:left w:val="none" w:sz="0" w:space="0" w:color="auto"/>
            <w:bottom w:val="none" w:sz="0" w:space="0" w:color="auto"/>
            <w:right w:val="none" w:sz="0" w:space="0" w:color="auto"/>
          </w:divBdr>
        </w:div>
        <w:div w:id="1660113363">
          <w:marLeft w:val="0"/>
          <w:marRight w:val="0"/>
          <w:marTop w:val="0"/>
          <w:marBottom w:val="0"/>
          <w:divBdr>
            <w:top w:val="none" w:sz="0" w:space="0" w:color="auto"/>
            <w:left w:val="none" w:sz="0" w:space="0" w:color="auto"/>
            <w:bottom w:val="none" w:sz="0" w:space="0" w:color="auto"/>
            <w:right w:val="none" w:sz="0" w:space="0" w:color="auto"/>
          </w:divBdr>
        </w:div>
        <w:div w:id="682438615">
          <w:marLeft w:val="0"/>
          <w:marRight w:val="0"/>
          <w:marTop w:val="0"/>
          <w:marBottom w:val="0"/>
          <w:divBdr>
            <w:top w:val="none" w:sz="0" w:space="0" w:color="auto"/>
            <w:left w:val="none" w:sz="0" w:space="0" w:color="auto"/>
            <w:bottom w:val="none" w:sz="0" w:space="0" w:color="auto"/>
            <w:right w:val="none" w:sz="0" w:space="0" w:color="auto"/>
          </w:divBdr>
        </w:div>
      </w:divsChild>
    </w:div>
    <w:div w:id="1352148565">
      <w:bodyDiv w:val="1"/>
      <w:marLeft w:val="0"/>
      <w:marRight w:val="0"/>
      <w:marTop w:val="0"/>
      <w:marBottom w:val="0"/>
      <w:divBdr>
        <w:top w:val="none" w:sz="0" w:space="0" w:color="auto"/>
        <w:left w:val="none" w:sz="0" w:space="0" w:color="auto"/>
        <w:bottom w:val="none" w:sz="0" w:space="0" w:color="auto"/>
        <w:right w:val="none" w:sz="0" w:space="0" w:color="auto"/>
      </w:divBdr>
      <w:divsChild>
        <w:div w:id="1275014479">
          <w:marLeft w:val="0"/>
          <w:marRight w:val="0"/>
          <w:marTop w:val="0"/>
          <w:marBottom w:val="0"/>
          <w:divBdr>
            <w:top w:val="none" w:sz="0" w:space="0" w:color="auto"/>
            <w:left w:val="none" w:sz="0" w:space="0" w:color="auto"/>
            <w:bottom w:val="none" w:sz="0" w:space="0" w:color="auto"/>
            <w:right w:val="none" w:sz="0" w:space="0" w:color="auto"/>
          </w:divBdr>
        </w:div>
      </w:divsChild>
    </w:div>
    <w:div w:id="1495225939">
      <w:bodyDiv w:val="1"/>
      <w:marLeft w:val="0"/>
      <w:marRight w:val="0"/>
      <w:marTop w:val="0"/>
      <w:marBottom w:val="0"/>
      <w:divBdr>
        <w:top w:val="none" w:sz="0" w:space="0" w:color="auto"/>
        <w:left w:val="none" w:sz="0" w:space="0" w:color="auto"/>
        <w:bottom w:val="none" w:sz="0" w:space="0" w:color="auto"/>
        <w:right w:val="none" w:sz="0" w:space="0" w:color="auto"/>
      </w:divBdr>
      <w:divsChild>
        <w:div w:id="1350108188">
          <w:marLeft w:val="0"/>
          <w:marRight w:val="0"/>
          <w:marTop w:val="0"/>
          <w:marBottom w:val="600"/>
          <w:divBdr>
            <w:top w:val="none" w:sz="0" w:space="0" w:color="auto"/>
            <w:left w:val="none" w:sz="0" w:space="0" w:color="auto"/>
            <w:bottom w:val="none" w:sz="0" w:space="0" w:color="auto"/>
            <w:right w:val="none" w:sz="0" w:space="0" w:color="auto"/>
          </w:divBdr>
          <w:divsChild>
            <w:div w:id="1454324055">
              <w:marLeft w:val="0"/>
              <w:marRight w:val="0"/>
              <w:marTop w:val="0"/>
              <w:marBottom w:val="0"/>
              <w:divBdr>
                <w:top w:val="none" w:sz="0" w:space="0" w:color="auto"/>
                <w:left w:val="none" w:sz="0" w:space="0" w:color="auto"/>
                <w:bottom w:val="none" w:sz="0" w:space="0" w:color="auto"/>
                <w:right w:val="none" w:sz="0" w:space="0" w:color="auto"/>
              </w:divBdr>
            </w:div>
          </w:divsChild>
        </w:div>
        <w:div w:id="1519663053">
          <w:marLeft w:val="0"/>
          <w:marRight w:val="0"/>
          <w:marTop w:val="0"/>
          <w:marBottom w:val="600"/>
          <w:divBdr>
            <w:top w:val="none" w:sz="0" w:space="0" w:color="auto"/>
            <w:left w:val="none" w:sz="0" w:space="0" w:color="auto"/>
            <w:bottom w:val="none" w:sz="0" w:space="0" w:color="auto"/>
            <w:right w:val="none" w:sz="0" w:space="0" w:color="auto"/>
          </w:divBdr>
          <w:divsChild>
            <w:div w:id="659113351">
              <w:marLeft w:val="0"/>
              <w:marRight w:val="0"/>
              <w:marTop w:val="0"/>
              <w:marBottom w:val="0"/>
              <w:divBdr>
                <w:top w:val="none" w:sz="0" w:space="0" w:color="auto"/>
                <w:left w:val="none" w:sz="0" w:space="0" w:color="auto"/>
                <w:bottom w:val="none" w:sz="0" w:space="0" w:color="auto"/>
                <w:right w:val="none" w:sz="0" w:space="0" w:color="auto"/>
              </w:divBdr>
            </w:div>
          </w:divsChild>
        </w:div>
        <w:div w:id="400446512">
          <w:marLeft w:val="0"/>
          <w:marRight w:val="0"/>
          <w:marTop w:val="0"/>
          <w:marBottom w:val="600"/>
          <w:divBdr>
            <w:top w:val="none" w:sz="0" w:space="0" w:color="auto"/>
            <w:left w:val="none" w:sz="0" w:space="0" w:color="auto"/>
            <w:bottom w:val="none" w:sz="0" w:space="0" w:color="auto"/>
            <w:right w:val="none" w:sz="0" w:space="0" w:color="auto"/>
          </w:divBdr>
          <w:divsChild>
            <w:div w:id="120999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159614">
      <w:bodyDiv w:val="1"/>
      <w:marLeft w:val="0"/>
      <w:marRight w:val="0"/>
      <w:marTop w:val="0"/>
      <w:marBottom w:val="0"/>
      <w:divBdr>
        <w:top w:val="none" w:sz="0" w:space="0" w:color="auto"/>
        <w:left w:val="none" w:sz="0" w:space="0" w:color="auto"/>
        <w:bottom w:val="none" w:sz="0" w:space="0" w:color="auto"/>
        <w:right w:val="none" w:sz="0" w:space="0" w:color="auto"/>
      </w:divBdr>
    </w:div>
    <w:div w:id="1944150540">
      <w:bodyDiv w:val="1"/>
      <w:marLeft w:val="0"/>
      <w:marRight w:val="0"/>
      <w:marTop w:val="0"/>
      <w:marBottom w:val="0"/>
      <w:divBdr>
        <w:top w:val="none" w:sz="0" w:space="0" w:color="auto"/>
        <w:left w:val="none" w:sz="0" w:space="0" w:color="auto"/>
        <w:bottom w:val="none" w:sz="0" w:space="0" w:color="auto"/>
        <w:right w:val="none" w:sz="0" w:space="0" w:color="auto"/>
      </w:divBdr>
    </w:div>
    <w:div w:id="2001737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606</Words>
  <Characters>3458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vabonyo49@gmail.com</dc:creator>
  <cp:keywords/>
  <dc:description/>
  <cp:lastModifiedBy>vinny</cp:lastModifiedBy>
  <cp:revision>2</cp:revision>
  <dcterms:created xsi:type="dcterms:W3CDTF">2019-01-15T02:12:00Z</dcterms:created>
  <dcterms:modified xsi:type="dcterms:W3CDTF">2019-01-15T02:12:00Z</dcterms:modified>
</cp:coreProperties>
</file>